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70" w:rsidRDefault="00B92770" w:rsidP="00B9277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92770" w:rsidRDefault="00B92770" w:rsidP="00B9277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B92770" w:rsidRDefault="00B92770" w:rsidP="00B9277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</w:t>
      </w:r>
    </w:p>
    <w:p w:rsidR="00B92770" w:rsidRDefault="00B92770" w:rsidP="00B9277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92770" w:rsidRDefault="00B92770" w:rsidP="00B9277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B92770" w:rsidRDefault="00B92770" w:rsidP="00B92770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B92770" w:rsidRDefault="00B92770" w:rsidP="00B9277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 ноября 2018 г. №179</w:t>
      </w:r>
    </w:p>
    <w:p w:rsidR="00B92770" w:rsidRDefault="00B92770" w:rsidP="00B92770">
      <w:pPr>
        <w:jc w:val="right"/>
        <w:rPr>
          <w:sz w:val="24"/>
          <w:szCs w:val="24"/>
        </w:rPr>
      </w:pPr>
    </w:p>
    <w:p w:rsidR="00B92770" w:rsidRDefault="00B92770" w:rsidP="00B92770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B92770" w:rsidRDefault="00B92770" w:rsidP="00B92770">
      <w:pPr>
        <w:jc w:val="center"/>
        <w:rPr>
          <w:szCs w:val="28"/>
        </w:rPr>
      </w:pPr>
      <w:r>
        <w:rPr>
          <w:szCs w:val="28"/>
        </w:rPr>
        <w:t xml:space="preserve">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B92770" w:rsidRDefault="00B92770" w:rsidP="00B92770">
      <w:pPr>
        <w:jc w:val="center"/>
        <w:rPr>
          <w:szCs w:val="28"/>
        </w:rPr>
      </w:pP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(далее – работники).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Оплата труда работников состоит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>: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>а) должностного оклада, тарифной ставки;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>б) надбавок к должностному окладу, тарифной ставке: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ab/>
        <w:t>за выслугу лет руководителям, специалистам и служащим;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ab/>
        <w:t>за сложность, напряженность и высокие достижения в труде;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ab/>
        <w:t>за классность;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>в) районного коэффициента;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>г) премий по результатам работы;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материальной помощи;</w:t>
      </w:r>
    </w:p>
    <w:p w:rsidR="00B92770" w:rsidRDefault="00B92770" w:rsidP="00B92770">
      <w:pPr>
        <w:pStyle w:val="a3"/>
        <w:ind w:left="0" w:firstLine="426"/>
        <w:rPr>
          <w:szCs w:val="28"/>
        </w:rPr>
      </w:pPr>
      <w:r>
        <w:rPr>
          <w:szCs w:val="28"/>
        </w:rPr>
        <w:t>е) доплат к должностному окладу, тарифной ставке.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Размеры должностных окладов (тарифных ставок) работникам устанавливаются согласно приложению к настоящему Положению.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Размер районного коэффициента определяются в соответствии с нормами, установленными на соответствующей территории.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Работникам выплачиваются: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премии по результатам работы (размер премий определяется </w:t>
      </w:r>
      <w:proofErr w:type="gramStart"/>
      <w:r>
        <w:rPr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>
        <w:rPr>
          <w:szCs w:val="28"/>
        </w:rPr>
        <w:t>);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ab/>
        <w:t>материальная помощь;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ab/>
        <w:t>руководителям, специалистам и служащим: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ab/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ab/>
        <w:t>ежемесячная надбавка за выслугу лет к должностному окладу в следующих размерах: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785"/>
        <w:gridCol w:w="4786"/>
      </w:tblGrid>
      <w:tr w:rsidR="00B92770" w:rsidTr="00371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При стаже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Размер надбавки (в процентах)</w:t>
            </w:r>
          </w:p>
        </w:tc>
      </w:tr>
      <w:tr w:rsidR="00B92770" w:rsidTr="00371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от 3 до 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</w:t>
            </w:r>
          </w:p>
        </w:tc>
      </w:tr>
      <w:tr w:rsidR="00B92770" w:rsidTr="00371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свыше 8 лет до 13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</w:t>
            </w:r>
          </w:p>
        </w:tc>
      </w:tr>
      <w:tr w:rsidR="00B92770" w:rsidTr="00371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свыше 13 лет до 18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</w:t>
            </w:r>
          </w:p>
        </w:tc>
      </w:tr>
      <w:tr w:rsidR="00B92770" w:rsidTr="00371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свыше 18 лет до 23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25</w:t>
            </w:r>
          </w:p>
        </w:tc>
      </w:tr>
      <w:tr w:rsidR="00B92770" w:rsidTr="00371D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свыше 23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Default="00B92770" w:rsidP="00371D42">
            <w:pPr>
              <w:pStyle w:val="a3"/>
              <w:spacing w:before="240"/>
              <w:ind w:left="0" w:firstLine="42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30</w:t>
            </w:r>
          </w:p>
        </w:tc>
      </w:tr>
    </w:tbl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  <w:lang w:eastAsia="en-US"/>
        </w:rPr>
      </w:pPr>
      <w:r>
        <w:rPr>
          <w:szCs w:val="28"/>
        </w:rPr>
        <w:t>рабочим – ежемесячная надбавка за сложность и напряженность в размере от 100 до 150 процентов тарифной ставки;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водителям – ежемесячная надбавка за сложность и напряженность в размере от 50 до 100 процентов тарифной ставки.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самоуправления, в котором работник осуществляет трудовую деятельность. 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Порядок премирования работников и оказание им материальной помощи.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При определении размера премии необходимо учитывать: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отношение работника к выполнению возложенных на него обязанностей;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своевременность и качество выполняемой работы, поручений и заданий;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личный вклад в выполнение структурным подразделением возложенных на него задач и функций.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 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Материальная помощь вновь принятым работникам выплачивается пропорционально отработанному времени.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При наличии экономии фонда оплаты труда материальная помощь может быть оказана дополнительно в размере, определяемом в каждом конкретном случае отдельно главой администрации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а) в связи с празднованием юбилейных дат;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б) в связи с празднованием праздничных и знаменательных дат, профессиональными праздниками, а также за достижение высоких показателей деятельности по итогам года или по результатам отдельных мероприятий;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в) в связи с бракосочетанием работника – по заявлению работника и при предъявлении копии свидетельства о браке;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г) при рождении ребенка у работника по его заявлению и при предъявлении копии свидетельства о рождении;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proofErr w:type="spellStart"/>
      <w:r>
        <w:rPr>
          <w:szCs w:val="28"/>
        </w:rPr>
        <w:lastRenderedPageBreak/>
        <w:t>д</w:t>
      </w:r>
      <w:proofErr w:type="spellEnd"/>
      <w:r>
        <w:rPr>
          <w:szCs w:val="28"/>
        </w:rPr>
        <w:t xml:space="preserve">) смерти супруга (супруги), родителей, детей работника – по заявлению работника и при предъявлении копии свидетельства о смерти и документов, подтверждающих родство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умершим;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е) по заявлению родственников в связи со смертью работника – выплачивается единовременно одному из близких родственников (супругу, родителям, детям, брату, сестре) по заявлению названного лица и предъявлении копии свидетельства о смерти;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ж) вследствие причинения работнику или членам его семьи ущерба в результате стихийного бедствия или иных форс-мажорных обстоятельств, в том числе утраты личного имущества на крупную сумму вследствие кражи, пожара, при представлении справки из полиции, управления министерства чрезвычайных ситуаций;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по иным уважительным причинам. 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При утверждении фондов оплаты труда для органов, в которых осуществляется муниципальная служба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1) ежемесячных надбавок к должностным окладам и тарифным ставкам: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а) руководителям, специалистам и служащим: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за сложность, напряженность и высокие достижения в труде – в размере 8,5 – кратной суммы должностных окладов работников с учетом районного коэффициента;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за выслугу лет – в размере 3 – кратной суммы должностных окладов работников с учетом районного коэффициента;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б) рабочим за сложность и напряженность – в размере 16 кратной суммы тарифных ставок соответствующих работников с учетом районного коэффициента;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в) водителям за сложность и напряженность – в размере 10 кратной суммы тарифных ставок соответствующих работников с учетом районного коэффициента;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2) премий по результатам работы: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а) руководителям, специалистам и служащим – в размере 4 кратной суммы должностных окладов соответствующих работников с учетом районного коэффициента;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б) рабочим и водителям – в размере 6 – 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3) материальной помощи – в размере 2 – кратной суммы должностных окладов и тарифных ставок работников;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4) установленных настоящим Положением надбавок и доплат по другим основаниям. </w:t>
      </w: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rPr>
          <w:szCs w:val="28"/>
        </w:rPr>
        <w:t>труда</w:t>
      </w:r>
      <w:proofErr w:type="gramEnd"/>
      <w:r>
        <w:rPr>
          <w:szCs w:val="28"/>
        </w:rPr>
        <w:t xml:space="preserve"> с учетом фактически назначенных размеров: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а) доплаты: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работникам охраны, операторам теплового пункта и диспетчерской службы за работу в ночное время (с 22.00 до 6.00) – в размере 50 процентов часовой тарифной ставки;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водителям служебных легковых автомобилей за ненормированный рабочий день – в размере 50 процентов месячной тарифной ставки;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б) надбавки: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водителям автомобилей за отработанное в качестве водителя время в следующих размерах: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водителям 2-го класса – 25 процентов месячной тарифной ставки;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водителям 1-го класса – 50 процентов месячной тарифной ставки;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уборщикам производственных и служебных помещений за использование в работе дезинфицирующих средств – в размере 10 процентов месячной тарифной ставки.</w:t>
      </w: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>
        <w:rPr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B92770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B92770" w:rsidRDefault="00B92770" w:rsidP="00B92770">
      <w:pPr>
        <w:pStyle w:val="a3"/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Выплаты указанных доплат осуществляется за счет экономии по фонду оплаты труда.</w:t>
      </w:r>
    </w:p>
    <w:p w:rsidR="00B92770" w:rsidRPr="00FA57E7" w:rsidRDefault="00B92770" w:rsidP="00B92770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szCs w:val="28"/>
        </w:rPr>
      </w:pPr>
      <w:r>
        <w:rPr>
          <w:szCs w:val="28"/>
        </w:rPr>
        <w:t>Премии рабочим и водителям начисляются с учетом районного коэффициента, всех надбавок и доплат.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оплате труда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материальном </w:t>
      </w:r>
      <w:proofErr w:type="gramStart"/>
      <w:r>
        <w:rPr>
          <w:sz w:val="24"/>
          <w:szCs w:val="24"/>
        </w:rPr>
        <w:t>стимулировании</w:t>
      </w:r>
      <w:proofErr w:type="gramEnd"/>
      <w:r>
        <w:rPr>
          <w:sz w:val="24"/>
          <w:szCs w:val="24"/>
        </w:rPr>
        <w:t xml:space="preserve"> работников,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занимающих</w:t>
      </w:r>
      <w:proofErr w:type="gramEnd"/>
      <w:r>
        <w:rPr>
          <w:sz w:val="24"/>
          <w:szCs w:val="24"/>
        </w:rPr>
        <w:t xml:space="preserve"> должности и профессии,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не отнесенные к муниципальным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должностям и должностям муниципальной службы,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техническое обеспечение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органов местного самоуправления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B92770" w:rsidRDefault="00B92770" w:rsidP="00B92770">
      <w:pPr>
        <w:ind w:firstLine="426"/>
        <w:jc w:val="right"/>
        <w:rPr>
          <w:sz w:val="24"/>
          <w:szCs w:val="24"/>
        </w:rPr>
      </w:pPr>
    </w:p>
    <w:p w:rsidR="00B92770" w:rsidRDefault="00B92770" w:rsidP="00B92770">
      <w:pPr>
        <w:ind w:firstLine="426"/>
        <w:jc w:val="center"/>
        <w:rPr>
          <w:szCs w:val="28"/>
        </w:rPr>
      </w:pPr>
      <w:r>
        <w:rPr>
          <w:szCs w:val="28"/>
        </w:rPr>
        <w:t>Должностные оклады (тарифные ставки) работников, осуществляющих техническое обеспечение деятельности органов в которых осуществляется местное самоуправление</w:t>
      </w:r>
    </w:p>
    <w:p w:rsidR="00B92770" w:rsidRDefault="00B92770" w:rsidP="00B92770">
      <w:pPr>
        <w:ind w:firstLine="426"/>
        <w:jc w:val="center"/>
        <w:rPr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6487"/>
        <w:gridCol w:w="3119"/>
      </w:tblGrid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Pr="00045B30" w:rsidRDefault="00B92770" w:rsidP="00371D42">
            <w:pPr>
              <w:jc w:val="center"/>
              <w:rPr>
                <w:sz w:val="26"/>
                <w:szCs w:val="26"/>
              </w:rPr>
            </w:pPr>
            <w:r w:rsidRPr="00045B30">
              <w:rPr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0" w:rsidRPr="00045B30" w:rsidRDefault="00B92770" w:rsidP="00371D42">
            <w:pPr>
              <w:jc w:val="center"/>
              <w:rPr>
                <w:sz w:val="26"/>
                <w:szCs w:val="26"/>
              </w:rPr>
            </w:pPr>
            <w:r w:rsidRPr="00045B30">
              <w:rPr>
                <w:sz w:val="26"/>
                <w:szCs w:val="26"/>
              </w:rPr>
              <w:t>Должностные оклады (месячные тарифные ставки), рублей</w:t>
            </w:r>
          </w:p>
        </w:tc>
      </w:tr>
      <w:tr w:rsidR="00B92770" w:rsidRPr="00045B30" w:rsidTr="00371D42">
        <w:trPr>
          <w:trHeight w:val="3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Рабочие и 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 xml:space="preserve">Водитель автомобиля 5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3495</w:t>
            </w: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 xml:space="preserve">Водитель автомобиля 6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3720</w:t>
            </w: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Водитель автомобиля 7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4071</w:t>
            </w: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Водитель автомобиля 8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4513</w:t>
            </w: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3246</w:t>
            </w: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Рабочие на сезонный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both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Оператор теплового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AF1311" w:rsidRDefault="00B92770" w:rsidP="00371D42">
            <w:pPr>
              <w:jc w:val="center"/>
              <w:rPr>
                <w:sz w:val="26"/>
                <w:szCs w:val="26"/>
              </w:rPr>
            </w:pPr>
            <w:r w:rsidRPr="00AF1311">
              <w:rPr>
                <w:sz w:val="26"/>
                <w:szCs w:val="26"/>
              </w:rPr>
              <w:t>4434</w:t>
            </w:r>
          </w:p>
        </w:tc>
      </w:tr>
      <w:tr w:rsidR="00B92770" w:rsidRPr="00045B30" w:rsidTr="00371D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4003B0" w:rsidRDefault="00B92770" w:rsidP="00371D42">
            <w:pPr>
              <w:rPr>
                <w:sz w:val="26"/>
                <w:szCs w:val="26"/>
              </w:rPr>
            </w:pPr>
            <w:r w:rsidRPr="004003B0"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0" w:rsidRPr="004003B0" w:rsidRDefault="00B92770" w:rsidP="00371D42">
            <w:pPr>
              <w:jc w:val="center"/>
              <w:rPr>
                <w:sz w:val="26"/>
                <w:szCs w:val="26"/>
              </w:rPr>
            </w:pPr>
            <w:r w:rsidRPr="004003B0">
              <w:rPr>
                <w:sz w:val="26"/>
                <w:szCs w:val="26"/>
              </w:rPr>
              <w:t>4434</w:t>
            </w:r>
          </w:p>
        </w:tc>
      </w:tr>
    </w:tbl>
    <w:p w:rsidR="00B92770" w:rsidRDefault="00B92770" w:rsidP="00B92770">
      <w:pPr>
        <w:jc w:val="center"/>
        <w:rPr>
          <w:sz w:val="24"/>
          <w:szCs w:val="24"/>
        </w:rPr>
      </w:pPr>
    </w:p>
    <w:p w:rsidR="00B92770" w:rsidRDefault="00B92770" w:rsidP="00B92770">
      <w:pPr>
        <w:jc w:val="both"/>
        <w:rPr>
          <w:sz w:val="20"/>
        </w:rPr>
      </w:pPr>
      <w:r>
        <w:rPr>
          <w:sz w:val="20"/>
        </w:rPr>
        <w:t>Примечания:</w:t>
      </w:r>
    </w:p>
    <w:p w:rsidR="00B92770" w:rsidRDefault="00B92770" w:rsidP="00B92770">
      <w:pPr>
        <w:ind w:firstLine="426"/>
        <w:jc w:val="both"/>
        <w:rPr>
          <w:sz w:val="20"/>
        </w:rPr>
      </w:pPr>
      <w:r>
        <w:rPr>
          <w:sz w:val="20"/>
        </w:rPr>
        <w:t>к 5 разряду относится выполнение работ по управлению легковыми автомобилями всех типов;</w:t>
      </w:r>
    </w:p>
    <w:p w:rsidR="00B92770" w:rsidRDefault="00B92770" w:rsidP="00B92770">
      <w:pPr>
        <w:ind w:firstLine="426"/>
        <w:jc w:val="both"/>
        <w:rPr>
          <w:sz w:val="20"/>
        </w:rPr>
      </w:pPr>
      <w:r>
        <w:rPr>
          <w:sz w:val="20"/>
        </w:rPr>
        <w:t>к 6 разряду относится выполнение работ по управлению грузовыми автомобилями грузоподъемностью до 3 тонн;</w:t>
      </w:r>
    </w:p>
    <w:p w:rsidR="00B92770" w:rsidRDefault="00B92770" w:rsidP="00B92770">
      <w:pPr>
        <w:ind w:firstLine="426"/>
        <w:jc w:val="both"/>
        <w:rPr>
          <w:sz w:val="20"/>
        </w:rPr>
      </w:pPr>
      <w:r>
        <w:rPr>
          <w:sz w:val="20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B92770" w:rsidRDefault="00B92770" w:rsidP="00B92770">
      <w:pPr>
        <w:ind w:firstLine="426"/>
        <w:jc w:val="both"/>
        <w:rPr>
          <w:sz w:val="20"/>
        </w:rPr>
      </w:pPr>
      <w:r>
        <w:rPr>
          <w:sz w:val="20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B92770" w:rsidRDefault="00B92770" w:rsidP="00B92770">
      <w:pPr>
        <w:ind w:firstLine="426"/>
        <w:jc w:val="both"/>
        <w:rPr>
          <w:sz w:val="20"/>
        </w:rPr>
      </w:pPr>
      <w:r>
        <w:rPr>
          <w:sz w:val="20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B92770" w:rsidRDefault="00B92770" w:rsidP="00B92770">
      <w:pPr>
        <w:ind w:firstLine="426"/>
        <w:jc w:val="both"/>
        <w:rPr>
          <w:szCs w:val="28"/>
        </w:rPr>
      </w:pPr>
    </w:p>
    <w:p w:rsidR="00B92770" w:rsidRPr="009515ED" w:rsidRDefault="00B92770" w:rsidP="00B92770">
      <w:pPr>
        <w:ind w:firstLine="426"/>
        <w:rPr>
          <w:szCs w:val="28"/>
        </w:rPr>
      </w:pPr>
    </w:p>
    <w:p w:rsidR="002347EC" w:rsidRDefault="002347EC"/>
    <w:sectPr w:rsidR="002347EC" w:rsidSect="009D7F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5A63"/>
    <w:multiLevelType w:val="hybridMultilevel"/>
    <w:tmpl w:val="C2107F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770"/>
    <w:rsid w:val="002347EC"/>
    <w:rsid w:val="00B9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70"/>
    <w:pPr>
      <w:ind w:left="720"/>
      <w:contextualSpacing/>
    </w:pPr>
  </w:style>
  <w:style w:type="table" w:styleId="a4">
    <w:name w:val="Table Grid"/>
    <w:basedOn w:val="a1"/>
    <w:uiPriority w:val="59"/>
    <w:rsid w:val="00B9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2018-11-27T10:23:00Z</dcterms:created>
  <dcterms:modified xsi:type="dcterms:W3CDTF">2018-11-27T10:46:00Z</dcterms:modified>
</cp:coreProperties>
</file>